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AEE5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北京中医药大学</w:t>
      </w:r>
    </w:p>
    <w:p w14:paraId="6ACD8F8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北京市政府外国留学生奖学金</w:t>
      </w:r>
    </w:p>
    <w:p w14:paraId="75BA6AF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研究生</w:t>
      </w:r>
      <w:r>
        <w:rPr>
          <w:b/>
          <w:sz w:val="36"/>
        </w:rPr>
        <w:t>部分</w:t>
      </w:r>
      <w:r>
        <w:rPr>
          <w:rFonts w:hint="eastAsia"/>
          <w:b/>
          <w:sz w:val="36"/>
        </w:rPr>
        <w:t>评定办法</w:t>
      </w:r>
    </w:p>
    <w:p w14:paraId="4C8B542C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</w:p>
    <w:p w14:paraId="4E6F119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728BB121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第一章   总  则</w:t>
      </w:r>
    </w:p>
    <w:p w14:paraId="6DFF87AC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坚持公开、公平、公正、择优的原则，充分发挥奖学金在培养外籍中医药高层次、高素质拔尖创新人才过程中的导向作用。激发广大全日制外籍研究生勤奋学习，积极向上的热情。严把评审标准，确保获奖学生的优秀质量。</w:t>
      </w:r>
    </w:p>
    <w:p w14:paraId="78A5EB19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第二章   组织和</w:t>
      </w:r>
      <w:r>
        <w:rPr>
          <w:rFonts w:ascii="宋体" w:hAnsi="宋体" w:cs="宋体"/>
          <w:b/>
          <w:kern w:val="0"/>
          <w:sz w:val="24"/>
        </w:rPr>
        <w:t>原则</w:t>
      </w:r>
    </w:p>
    <w:p w14:paraId="3BF956C3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第一条 </w:t>
      </w:r>
      <w:r>
        <w:rPr>
          <w:rFonts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kern w:val="0"/>
          <w:sz w:val="24"/>
        </w:rPr>
        <w:t xml:space="preserve"> 组织管理</w:t>
      </w:r>
    </w:p>
    <w:p w14:paraId="0D5DF6BB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国际教育学院负责</w:t>
      </w:r>
      <w:r>
        <w:rPr>
          <w:rFonts w:hint="eastAsia" w:ascii="宋体" w:hAnsi="宋体" w:cs="宋体"/>
          <w:kern w:val="0"/>
          <w:sz w:val="24"/>
        </w:rPr>
        <w:t>统筹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hint="eastAsia" w:ascii="宋体" w:hAnsi="宋体" w:cs="宋体"/>
          <w:kern w:val="0"/>
          <w:sz w:val="24"/>
        </w:rPr>
        <w:t>协调</w:t>
      </w:r>
      <w:r>
        <w:rPr>
          <w:rFonts w:ascii="宋体" w:hAnsi="宋体" w:cs="宋体"/>
          <w:kern w:val="0"/>
          <w:sz w:val="24"/>
        </w:rPr>
        <w:t>、监督</w:t>
      </w:r>
      <w:r>
        <w:rPr>
          <w:rFonts w:hint="eastAsia" w:ascii="宋体" w:hAnsi="宋体" w:cs="宋体"/>
          <w:kern w:val="0"/>
          <w:sz w:val="24"/>
        </w:rPr>
        <w:t>本奖学金的</w:t>
      </w:r>
      <w:r>
        <w:rPr>
          <w:rFonts w:ascii="宋体" w:hAnsi="宋体" w:cs="宋体"/>
          <w:kern w:val="0"/>
          <w:sz w:val="24"/>
        </w:rPr>
        <w:t>评审工作</w:t>
      </w:r>
      <w:r>
        <w:rPr>
          <w:rFonts w:hint="eastAsia" w:ascii="宋体" w:hAnsi="宋体" w:cs="宋体"/>
          <w:kern w:val="0"/>
          <w:sz w:val="24"/>
        </w:rPr>
        <w:t>。研究生院负责制定奖学金分配方案，汇总学生名单，统计二年级和三年级研究生的成绩得分和学术得分作为评审依据。</w:t>
      </w:r>
    </w:p>
    <w:p w14:paraId="4E70BAF7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第二条 </w:t>
      </w:r>
      <w:r>
        <w:rPr>
          <w:rFonts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kern w:val="0"/>
          <w:sz w:val="24"/>
        </w:rPr>
        <w:t xml:space="preserve"> 评审原则</w:t>
      </w:r>
    </w:p>
    <w:p w14:paraId="1E9D3E0A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奖学金主要授予在学习成绩、学术研究、临床能力等方面优秀的在读自费外籍研究生。鼓励和提倡研究生积极进取、开拓创新，引导研究生在业务学习、科研水平、临床能力等方面得到提高和发展。</w:t>
      </w:r>
    </w:p>
    <w:p w14:paraId="50B531E4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第三章   评审对象</w:t>
      </w:r>
    </w:p>
    <w:p w14:paraId="34AC5DB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第三条   奖学金评审对象</w:t>
      </w:r>
    </w:p>
    <w:p w14:paraId="468621F4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我校</w:t>
      </w:r>
      <w:r>
        <w:rPr>
          <w:rFonts w:ascii="宋体" w:hAnsi="宋体" w:cs="宋体"/>
          <w:kern w:val="0"/>
          <w:sz w:val="24"/>
        </w:rPr>
        <w:t>招收的</w:t>
      </w:r>
      <w:r>
        <w:rPr>
          <w:rFonts w:hint="eastAsia" w:ascii="宋体" w:hAnsi="宋体" w:cs="宋体"/>
          <w:kern w:val="0"/>
          <w:sz w:val="24"/>
        </w:rPr>
        <w:t>在校的全日制统招外籍研究生（包括博士、硕士研究生）。以下情况例外</w:t>
      </w:r>
      <w:r>
        <w:rPr>
          <w:rFonts w:hint="eastAsia" w:ascii="宋体" w:hAnsi="宋体" w:cs="宋体"/>
          <w:kern w:val="0"/>
          <w:sz w:val="24"/>
          <w:lang w:eastAsia="zh-CN"/>
        </w:rPr>
        <w:t>：</w:t>
      </w:r>
    </w:p>
    <w:p w14:paraId="36BEF3F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本年度已享受中国</w:t>
      </w:r>
      <w:r>
        <w:rPr>
          <w:rFonts w:ascii="宋体" w:hAnsi="宋体" w:cs="宋体"/>
          <w:kern w:val="0"/>
          <w:sz w:val="24"/>
        </w:rPr>
        <w:t>政府奖学金</w:t>
      </w:r>
      <w:r>
        <w:rPr>
          <w:rFonts w:hint="eastAsia" w:ascii="宋体" w:hAnsi="宋体" w:cs="宋体"/>
          <w:kern w:val="0"/>
          <w:sz w:val="24"/>
        </w:rPr>
        <w:t>或</w:t>
      </w:r>
      <w:r>
        <w:rPr>
          <w:rFonts w:ascii="宋体" w:hAnsi="宋体" w:cs="宋体"/>
          <w:kern w:val="0"/>
          <w:sz w:val="24"/>
        </w:rPr>
        <w:t>其他</w:t>
      </w:r>
      <w:r>
        <w:rPr>
          <w:rFonts w:hint="eastAsia" w:ascii="宋体" w:hAnsi="宋体" w:cs="宋体"/>
          <w:kern w:val="0"/>
          <w:sz w:val="24"/>
        </w:rPr>
        <w:t>类型全额</w:t>
      </w:r>
      <w:r>
        <w:rPr>
          <w:rFonts w:ascii="宋体" w:hAnsi="宋体" w:cs="宋体"/>
          <w:kern w:val="0"/>
          <w:sz w:val="24"/>
        </w:rPr>
        <w:t>奖学金的</w:t>
      </w:r>
      <w:r>
        <w:rPr>
          <w:rFonts w:hint="eastAsia" w:ascii="宋体" w:hAnsi="宋体" w:cs="宋体"/>
          <w:kern w:val="0"/>
          <w:sz w:val="24"/>
        </w:rPr>
        <w:t>研究生（含本年度教育部</w:t>
      </w:r>
      <w:r>
        <w:rPr>
          <w:rFonts w:ascii="宋体" w:hAnsi="宋体" w:cs="宋体"/>
          <w:kern w:val="0"/>
          <w:sz w:val="24"/>
        </w:rPr>
        <w:t>优秀来华留学生奖学金</w:t>
      </w:r>
      <w:r>
        <w:rPr>
          <w:rFonts w:hint="eastAsia" w:ascii="宋体" w:hAnsi="宋体" w:cs="宋体"/>
          <w:kern w:val="0"/>
          <w:sz w:val="24"/>
        </w:rPr>
        <w:t>获得者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；</w:t>
      </w:r>
    </w:p>
    <w:p w14:paraId="4B6FA3BC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超出研究生培养方案规定学制的研究生；</w:t>
      </w:r>
    </w:p>
    <w:p w14:paraId="43D965FD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入学后申请</w:t>
      </w:r>
      <w:r>
        <w:rPr>
          <w:rFonts w:ascii="宋体" w:hAnsi="宋体" w:cs="宋体"/>
          <w:kern w:val="0"/>
          <w:sz w:val="24"/>
        </w:rPr>
        <w:t>保留学籍的</w:t>
      </w:r>
      <w:r>
        <w:rPr>
          <w:rFonts w:hint="eastAsia" w:ascii="宋体" w:hAnsi="宋体" w:cs="宋体"/>
          <w:kern w:val="0"/>
          <w:sz w:val="24"/>
        </w:rPr>
        <w:t>外籍研究生不能获得当年</w:t>
      </w:r>
      <w:r>
        <w:rPr>
          <w:rFonts w:ascii="宋体" w:hAnsi="宋体" w:cs="宋体"/>
          <w:kern w:val="0"/>
          <w:sz w:val="24"/>
        </w:rPr>
        <w:t>的</w:t>
      </w:r>
      <w:r>
        <w:rPr>
          <w:rFonts w:hint="eastAsia" w:ascii="宋体" w:hAnsi="宋体" w:cs="宋体"/>
          <w:kern w:val="0"/>
          <w:sz w:val="24"/>
        </w:rPr>
        <w:t>新生奖学金，如果</w:t>
      </w:r>
      <w:r>
        <w:rPr>
          <w:rFonts w:ascii="宋体" w:hAnsi="宋体" w:cs="宋体"/>
          <w:kern w:val="0"/>
          <w:sz w:val="24"/>
        </w:rPr>
        <w:t>第二年成功</w:t>
      </w:r>
      <w:r>
        <w:rPr>
          <w:rFonts w:hint="eastAsia" w:ascii="宋体" w:hAnsi="宋体" w:cs="宋体"/>
          <w:kern w:val="0"/>
          <w:sz w:val="24"/>
        </w:rPr>
        <w:t>入学报到后，进入</w:t>
      </w:r>
      <w:r>
        <w:rPr>
          <w:rFonts w:ascii="宋体" w:hAnsi="宋体" w:cs="宋体"/>
          <w:kern w:val="0"/>
          <w:sz w:val="24"/>
        </w:rPr>
        <w:t>下一年级，</w:t>
      </w:r>
      <w:r>
        <w:rPr>
          <w:rFonts w:hint="eastAsia" w:ascii="宋体" w:hAnsi="宋体" w:cs="宋体"/>
          <w:kern w:val="0"/>
          <w:sz w:val="24"/>
        </w:rPr>
        <w:t>按照下一年级</w:t>
      </w:r>
      <w:r>
        <w:rPr>
          <w:rFonts w:ascii="宋体" w:hAnsi="宋体" w:cs="宋体"/>
          <w:kern w:val="0"/>
          <w:sz w:val="24"/>
        </w:rPr>
        <w:t>新生对待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0880ED9C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第四条 </w:t>
      </w:r>
      <w:r>
        <w:rPr>
          <w:rFonts w:ascii="宋体" w:hAnsi="宋体" w:cs="宋体"/>
          <w:b/>
          <w:kern w:val="0"/>
          <w:sz w:val="24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外籍研究生出现以下情形之一者，取消其奖学金评审</w:t>
      </w:r>
      <w:r>
        <w:rPr>
          <w:rFonts w:ascii="宋体" w:hAnsi="宋体" w:cs="宋体"/>
          <w:b/>
          <w:kern w:val="0"/>
          <w:sz w:val="24"/>
        </w:rPr>
        <w:t>资格</w:t>
      </w:r>
      <w:r>
        <w:rPr>
          <w:rFonts w:hint="eastAsia" w:ascii="宋体" w:hAnsi="宋体" w:cs="宋体"/>
          <w:b/>
          <w:kern w:val="0"/>
          <w:sz w:val="24"/>
        </w:rPr>
        <w:t>：</w:t>
      </w:r>
    </w:p>
    <w:p w14:paraId="4EB3A0A1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1.未按时完成缴费注册者（参见</w:t>
      </w:r>
      <w:r>
        <w:rPr>
          <w:rFonts w:ascii="宋体" w:hAnsi="宋体" w:cs="宋体"/>
          <w:kern w:val="0"/>
          <w:sz w:val="24"/>
        </w:rPr>
        <w:t>《</w:t>
      </w:r>
      <w:r>
        <w:rPr>
          <w:rFonts w:hint="eastAsia" w:ascii="宋体" w:hAnsi="宋体" w:cs="宋体"/>
          <w:kern w:val="0"/>
          <w:sz w:val="24"/>
        </w:rPr>
        <w:t>北京中医药大学研究生学籍管理暂行规定》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；</w:t>
      </w:r>
    </w:p>
    <w:p w14:paraId="3274BC88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2.学术行为不端者；</w:t>
      </w:r>
    </w:p>
    <w:p w14:paraId="6C9A9DE1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3.违反中国法律法规和校规校纪者；</w:t>
      </w:r>
    </w:p>
    <w:p w14:paraId="03DE789C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4.必修课课程（公共课、专业课和专业基础课）成绩不及格者。</w:t>
      </w:r>
    </w:p>
    <w:p w14:paraId="0491664C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第四章 </w:t>
      </w:r>
      <w:r>
        <w:rPr>
          <w:rFonts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kern w:val="0"/>
          <w:sz w:val="24"/>
        </w:rPr>
        <w:t xml:space="preserve"> 评审程序</w:t>
      </w:r>
    </w:p>
    <w:p w14:paraId="0DD13EB8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第五条  评审规则</w:t>
      </w:r>
      <w:bookmarkStart w:id="0" w:name="_GoBack"/>
      <w:bookmarkEnd w:id="0"/>
    </w:p>
    <w:p w14:paraId="1787380E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1.所有自费</w:t>
      </w:r>
      <w:r>
        <w:rPr>
          <w:rFonts w:ascii="宋体" w:hAnsi="宋体" w:cs="宋体"/>
          <w:kern w:val="0"/>
          <w:sz w:val="24"/>
        </w:rPr>
        <w:t>的</w:t>
      </w:r>
      <w:r>
        <w:rPr>
          <w:rFonts w:hint="eastAsia" w:ascii="宋体" w:hAnsi="宋体" w:cs="宋体"/>
          <w:kern w:val="0"/>
          <w:sz w:val="24"/>
        </w:rPr>
        <w:t>全日制新生将获得新生奖学金，硕士每人1.2万，博士每人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万。</w:t>
      </w:r>
      <w:r>
        <w:rPr>
          <w:rFonts w:ascii="宋体" w:hAnsi="宋体" w:cs="宋体"/>
          <w:kern w:val="0"/>
          <w:sz w:val="24"/>
        </w:rPr>
        <w:t>新生数据由研究生院招生办公室提供。</w:t>
      </w:r>
    </w:p>
    <w:p w14:paraId="4917C2EF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2.第二年及以上的三年制研究生每个年级的硕士和博士分开评审，每种类型的名额由自费学生的数量决定；</w:t>
      </w:r>
      <w:r>
        <w:rPr>
          <w:rFonts w:hint="eastAsia" w:ascii="宋体" w:hAnsi="宋体"/>
          <w:sz w:val="24"/>
        </w:rPr>
        <w:t>硕士一等奖3.8万，二等奖2.66万，三等奖1.9万；博士一等奖4.7万，二等奖3.29万，三等奖2.35万。通过成绩和学术水平得分排名。具体三年制老生打分细则见后，</w:t>
      </w:r>
      <w:r>
        <w:rPr>
          <w:rFonts w:hint="eastAsia" w:ascii="宋体" w:hAnsi="宋体" w:cs="宋体"/>
          <w:kern w:val="0"/>
          <w:sz w:val="24"/>
        </w:rPr>
        <w:t>成绩单由研究生院出具，学术水平的证明由学生提供给学院。</w:t>
      </w:r>
    </w:p>
    <w:p w14:paraId="0C7926E5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第六条  个人申诉</w:t>
      </w:r>
    </w:p>
    <w:p w14:paraId="6F62F95A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外籍研究生本人对奖学金初评结果有异议者，可在评审结果公示期间内向研究生院提出书面申诉，由班主任递交给研究生院。</w:t>
      </w:r>
    </w:p>
    <w:p w14:paraId="61304F53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第五章 </w:t>
      </w:r>
      <w:r>
        <w:rPr>
          <w:rFonts w:ascii="宋体" w:hAnsi="宋体" w:cs="宋体"/>
          <w:b/>
          <w:kern w:val="0"/>
          <w:sz w:val="24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三年制老生打分细则</w:t>
      </w:r>
    </w:p>
    <w:p w14:paraId="2B7153F5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第七条 </w:t>
      </w:r>
      <w:r>
        <w:rPr>
          <w:rFonts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kern w:val="0"/>
          <w:sz w:val="24"/>
        </w:rPr>
        <w:t>学业成绩得分</w:t>
      </w:r>
    </w:p>
    <w:p w14:paraId="69FAC9A7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 所有</w:t>
      </w:r>
      <w:r>
        <w:rPr>
          <w:rFonts w:ascii="宋体" w:hAnsi="宋体" w:cs="宋体"/>
          <w:b/>
          <w:kern w:val="0"/>
          <w:sz w:val="24"/>
        </w:rPr>
        <w:t>类型</w:t>
      </w:r>
      <w:r>
        <w:rPr>
          <w:rFonts w:hint="eastAsia" w:ascii="宋体" w:hAnsi="宋体" w:cs="宋体"/>
          <w:b/>
          <w:kern w:val="0"/>
          <w:sz w:val="24"/>
        </w:rPr>
        <w:t>博士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39"/>
        <w:gridCol w:w="5103"/>
      </w:tblGrid>
      <w:tr w14:paraId="325E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42" w:type="dxa"/>
            <w:vAlign w:val="center"/>
          </w:tcPr>
          <w:p w14:paraId="47370A7F">
            <w:pPr>
              <w:snapToGrid w:val="0"/>
              <w:ind w:right="199" w:rightChars="9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项目</w:t>
            </w:r>
          </w:p>
        </w:tc>
        <w:tc>
          <w:tcPr>
            <w:tcW w:w="2439" w:type="dxa"/>
            <w:vAlign w:val="center"/>
          </w:tcPr>
          <w:p w14:paraId="2834AEEA">
            <w:pPr>
              <w:snapToGrid w:val="0"/>
              <w:ind w:right="199" w:rightChars="9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内容</w:t>
            </w:r>
          </w:p>
        </w:tc>
        <w:tc>
          <w:tcPr>
            <w:tcW w:w="5103" w:type="dxa"/>
            <w:vAlign w:val="center"/>
          </w:tcPr>
          <w:p w14:paraId="3198BEAE">
            <w:pPr>
              <w:snapToGrid w:val="0"/>
              <w:ind w:right="199" w:rightChars="9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分值标准</w:t>
            </w:r>
          </w:p>
        </w:tc>
      </w:tr>
      <w:tr w14:paraId="5B07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2" w:type="dxa"/>
            <w:vMerge w:val="restart"/>
            <w:vAlign w:val="center"/>
          </w:tcPr>
          <w:p w14:paraId="78FA697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基本情况</w:t>
            </w:r>
          </w:p>
          <w:p w14:paraId="27791D05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（60分）</w:t>
            </w:r>
          </w:p>
        </w:tc>
        <w:tc>
          <w:tcPr>
            <w:tcW w:w="2439" w:type="dxa"/>
            <w:vAlign w:val="center"/>
          </w:tcPr>
          <w:p w14:paraId="66026197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必修课成绩(50分)</w:t>
            </w:r>
          </w:p>
        </w:tc>
        <w:tc>
          <w:tcPr>
            <w:tcW w:w="5103" w:type="dxa"/>
            <w:vAlign w:val="center"/>
          </w:tcPr>
          <w:p w14:paraId="5E56C5B2">
            <w:pPr>
              <w:widowControl/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（每门课的成绩×学分累加/总学分）×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hint="eastAsia" w:ascii="宋体" w:hAnsi="宋体" w:cs="仿宋"/>
                <w:kern w:val="0"/>
                <w:sz w:val="24"/>
              </w:rPr>
              <w:t>5</w:t>
            </w:r>
          </w:p>
        </w:tc>
      </w:tr>
      <w:tr w14:paraId="12CF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continue"/>
            <w:vAlign w:val="center"/>
          </w:tcPr>
          <w:p w14:paraId="0AEA3B2C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439" w:type="dxa"/>
            <w:vAlign w:val="center"/>
          </w:tcPr>
          <w:p w14:paraId="0632DD33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选修课成绩（10分）</w:t>
            </w:r>
          </w:p>
        </w:tc>
        <w:tc>
          <w:tcPr>
            <w:tcW w:w="5103" w:type="dxa"/>
            <w:vAlign w:val="center"/>
          </w:tcPr>
          <w:p w14:paraId="41CAA8A0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（每门课的成绩×学分累加/总学分）×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hint="eastAsia" w:ascii="宋体" w:hAnsi="宋体" w:cs="仿宋"/>
                <w:kern w:val="0"/>
                <w:sz w:val="24"/>
              </w:rPr>
              <w:t>1</w:t>
            </w:r>
          </w:p>
        </w:tc>
      </w:tr>
      <w:tr w14:paraId="68A8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42" w:type="dxa"/>
            <w:vAlign w:val="center"/>
          </w:tcPr>
          <w:p w14:paraId="4B79AE53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学术成果</w:t>
            </w:r>
          </w:p>
          <w:p w14:paraId="747DB340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（30分）</w:t>
            </w:r>
          </w:p>
        </w:tc>
        <w:tc>
          <w:tcPr>
            <w:tcW w:w="7542" w:type="dxa"/>
            <w:gridSpan w:val="2"/>
            <w:vAlign w:val="center"/>
          </w:tcPr>
          <w:p w14:paraId="238A4E7A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总分</w:t>
            </w:r>
            <w:r>
              <w:rPr>
                <w:rFonts w:hint="eastAsia" w:ascii="宋体" w:hAnsi="宋体" w:cs="仿宋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sz w:val="24"/>
              </w:rPr>
              <w:t>0.</w:t>
            </w:r>
            <w:r>
              <w:rPr>
                <w:rFonts w:hint="eastAsia" w:ascii="宋体" w:hAnsi="宋体" w:cs="仿宋"/>
                <w:sz w:val="24"/>
              </w:rPr>
              <w:t>3，详见学术成果评分细则。</w:t>
            </w:r>
          </w:p>
        </w:tc>
      </w:tr>
      <w:tr w14:paraId="17FFA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42" w:type="dxa"/>
            <w:vAlign w:val="center"/>
          </w:tcPr>
          <w:p w14:paraId="6963F96E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操行评定</w:t>
            </w:r>
          </w:p>
          <w:p w14:paraId="4D12FAB8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（10分）</w:t>
            </w:r>
          </w:p>
        </w:tc>
        <w:tc>
          <w:tcPr>
            <w:tcW w:w="7542" w:type="dxa"/>
            <w:gridSpan w:val="2"/>
            <w:vAlign w:val="center"/>
          </w:tcPr>
          <w:p w14:paraId="601FD9D7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总分</w:t>
            </w:r>
            <w:r>
              <w:rPr>
                <w:rFonts w:hint="eastAsia" w:ascii="宋体" w:hAnsi="宋体" w:cs="仿宋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hint="eastAsia" w:ascii="宋体" w:hAnsi="宋体" w:cs="仿宋"/>
                <w:kern w:val="0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，详见操行评定评分细则。</w:t>
            </w:r>
          </w:p>
        </w:tc>
      </w:tr>
    </w:tbl>
    <w:p w14:paraId="4F953E13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 学术学位</w:t>
      </w:r>
      <w:r>
        <w:rPr>
          <w:rFonts w:ascii="宋体" w:hAnsi="宋体" w:cs="宋体"/>
          <w:b/>
          <w:kern w:val="0"/>
          <w:sz w:val="24"/>
        </w:rPr>
        <w:t>硕士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39"/>
        <w:gridCol w:w="5103"/>
      </w:tblGrid>
      <w:tr w14:paraId="16FB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42" w:type="dxa"/>
            <w:vAlign w:val="center"/>
          </w:tcPr>
          <w:p w14:paraId="33CC14BB">
            <w:pPr>
              <w:snapToGrid w:val="0"/>
              <w:ind w:right="199" w:rightChars="9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项目</w:t>
            </w:r>
          </w:p>
        </w:tc>
        <w:tc>
          <w:tcPr>
            <w:tcW w:w="2439" w:type="dxa"/>
            <w:vAlign w:val="center"/>
          </w:tcPr>
          <w:p w14:paraId="333D0C2D">
            <w:pPr>
              <w:snapToGrid w:val="0"/>
              <w:ind w:right="199" w:rightChars="9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内容</w:t>
            </w:r>
          </w:p>
        </w:tc>
        <w:tc>
          <w:tcPr>
            <w:tcW w:w="5103" w:type="dxa"/>
            <w:vAlign w:val="center"/>
          </w:tcPr>
          <w:p w14:paraId="151DC6F0">
            <w:pPr>
              <w:snapToGrid w:val="0"/>
              <w:ind w:right="199" w:rightChars="9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分值标准</w:t>
            </w:r>
          </w:p>
        </w:tc>
      </w:tr>
      <w:tr w14:paraId="29DF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2" w:type="dxa"/>
            <w:vMerge w:val="restart"/>
            <w:vAlign w:val="center"/>
          </w:tcPr>
          <w:p w14:paraId="14D1895B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基本情况</w:t>
            </w:r>
          </w:p>
          <w:p w14:paraId="06FF28E9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（70分）</w:t>
            </w:r>
          </w:p>
        </w:tc>
        <w:tc>
          <w:tcPr>
            <w:tcW w:w="2439" w:type="dxa"/>
            <w:vAlign w:val="center"/>
          </w:tcPr>
          <w:p w14:paraId="5BB11AFE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必修课成绩(60分)</w:t>
            </w:r>
          </w:p>
        </w:tc>
        <w:tc>
          <w:tcPr>
            <w:tcW w:w="5103" w:type="dxa"/>
            <w:vAlign w:val="center"/>
          </w:tcPr>
          <w:p w14:paraId="6042E9D0">
            <w:pPr>
              <w:widowControl/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（每门课的成绩×学分累加/总学分）×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hint="eastAsia" w:ascii="宋体" w:hAnsi="宋体" w:cs="仿宋"/>
                <w:kern w:val="0"/>
                <w:sz w:val="24"/>
              </w:rPr>
              <w:t>6</w:t>
            </w:r>
          </w:p>
        </w:tc>
      </w:tr>
      <w:tr w14:paraId="30B5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continue"/>
            <w:vAlign w:val="center"/>
          </w:tcPr>
          <w:p w14:paraId="1681ABFC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439" w:type="dxa"/>
            <w:vAlign w:val="center"/>
          </w:tcPr>
          <w:p w14:paraId="51EBA1E3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选修课成绩（10分）</w:t>
            </w:r>
          </w:p>
        </w:tc>
        <w:tc>
          <w:tcPr>
            <w:tcW w:w="5103" w:type="dxa"/>
            <w:vAlign w:val="center"/>
          </w:tcPr>
          <w:p w14:paraId="560EEEAD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（每门课的成绩×学分累加/总学分）×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hint="eastAsia" w:ascii="宋体" w:hAnsi="宋体" w:cs="仿宋"/>
                <w:kern w:val="0"/>
                <w:sz w:val="24"/>
              </w:rPr>
              <w:t>1</w:t>
            </w:r>
          </w:p>
        </w:tc>
      </w:tr>
      <w:tr w14:paraId="6439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42" w:type="dxa"/>
            <w:vAlign w:val="center"/>
          </w:tcPr>
          <w:p w14:paraId="11855DF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学术成果</w:t>
            </w:r>
          </w:p>
          <w:p w14:paraId="06181027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（20分）</w:t>
            </w:r>
          </w:p>
        </w:tc>
        <w:tc>
          <w:tcPr>
            <w:tcW w:w="7542" w:type="dxa"/>
            <w:gridSpan w:val="2"/>
            <w:vAlign w:val="center"/>
          </w:tcPr>
          <w:p w14:paraId="02A6189F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总分</w:t>
            </w:r>
            <w:r>
              <w:rPr>
                <w:rFonts w:hint="eastAsia" w:ascii="宋体" w:hAnsi="宋体" w:cs="仿宋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sz w:val="24"/>
              </w:rPr>
              <w:t>0.</w:t>
            </w:r>
            <w:r>
              <w:rPr>
                <w:rFonts w:hint="eastAsia" w:ascii="宋体" w:hAnsi="宋体" w:cs="仿宋"/>
                <w:sz w:val="24"/>
              </w:rPr>
              <w:t>2，详见学术成果评分细则。</w:t>
            </w:r>
          </w:p>
        </w:tc>
      </w:tr>
      <w:tr w14:paraId="680F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42" w:type="dxa"/>
            <w:vAlign w:val="center"/>
          </w:tcPr>
          <w:p w14:paraId="394D2F5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操行评定</w:t>
            </w:r>
          </w:p>
          <w:p w14:paraId="457BFD75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（10分）</w:t>
            </w:r>
          </w:p>
        </w:tc>
        <w:tc>
          <w:tcPr>
            <w:tcW w:w="7542" w:type="dxa"/>
            <w:gridSpan w:val="2"/>
            <w:vAlign w:val="center"/>
          </w:tcPr>
          <w:p w14:paraId="32EE75E4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总分</w:t>
            </w:r>
            <w:r>
              <w:rPr>
                <w:rFonts w:hint="eastAsia" w:ascii="宋体" w:hAnsi="宋体" w:cs="仿宋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hint="eastAsia" w:ascii="宋体" w:hAnsi="宋体" w:cs="仿宋"/>
                <w:kern w:val="0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，详见操行评定评分细则。</w:t>
            </w:r>
          </w:p>
        </w:tc>
      </w:tr>
    </w:tbl>
    <w:p w14:paraId="6371C28B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3 专业</w:t>
      </w:r>
      <w:r>
        <w:rPr>
          <w:rFonts w:ascii="宋体" w:hAnsi="宋体" w:cs="宋体"/>
          <w:b/>
          <w:kern w:val="0"/>
          <w:sz w:val="24"/>
        </w:rPr>
        <w:t>学位硕士</w:t>
      </w:r>
    </w:p>
    <w:tbl>
      <w:tblPr>
        <w:tblStyle w:val="6"/>
        <w:tblW w:w="878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39"/>
        <w:gridCol w:w="5103"/>
      </w:tblGrid>
      <w:tr w14:paraId="5961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42" w:type="dxa"/>
            <w:vAlign w:val="center"/>
          </w:tcPr>
          <w:p w14:paraId="484ED350">
            <w:pPr>
              <w:snapToGrid w:val="0"/>
              <w:ind w:right="199" w:rightChars="9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项目</w:t>
            </w:r>
          </w:p>
        </w:tc>
        <w:tc>
          <w:tcPr>
            <w:tcW w:w="2439" w:type="dxa"/>
            <w:vAlign w:val="center"/>
          </w:tcPr>
          <w:p w14:paraId="6D851A8D">
            <w:pPr>
              <w:snapToGrid w:val="0"/>
              <w:ind w:right="199" w:rightChars="9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内容</w:t>
            </w:r>
          </w:p>
        </w:tc>
        <w:tc>
          <w:tcPr>
            <w:tcW w:w="5103" w:type="dxa"/>
            <w:vAlign w:val="center"/>
          </w:tcPr>
          <w:p w14:paraId="37057379">
            <w:pPr>
              <w:snapToGrid w:val="0"/>
              <w:ind w:right="199" w:rightChars="95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分值标准</w:t>
            </w:r>
          </w:p>
        </w:tc>
      </w:tr>
      <w:tr w14:paraId="2A51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2" w:type="dxa"/>
            <w:vMerge w:val="restart"/>
            <w:vAlign w:val="center"/>
          </w:tcPr>
          <w:p w14:paraId="42C01858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基本情况</w:t>
            </w:r>
          </w:p>
          <w:p w14:paraId="1B437A29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（70分）</w:t>
            </w:r>
          </w:p>
        </w:tc>
        <w:tc>
          <w:tcPr>
            <w:tcW w:w="2439" w:type="dxa"/>
            <w:vAlign w:val="center"/>
          </w:tcPr>
          <w:p w14:paraId="3BD44554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必修课成绩（50分)</w:t>
            </w:r>
          </w:p>
        </w:tc>
        <w:tc>
          <w:tcPr>
            <w:tcW w:w="5103" w:type="dxa"/>
            <w:vAlign w:val="center"/>
          </w:tcPr>
          <w:p w14:paraId="11AEDB4C">
            <w:pPr>
              <w:widowControl/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（每门课的成绩×学分,累加/总学分）×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hint="eastAsia" w:ascii="宋体" w:hAnsi="宋体" w:cs="仿宋"/>
                <w:kern w:val="0"/>
                <w:sz w:val="24"/>
              </w:rPr>
              <w:t>5</w:t>
            </w:r>
          </w:p>
        </w:tc>
      </w:tr>
      <w:tr w14:paraId="7252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continue"/>
            <w:vAlign w:val="center"/>
          </w:tcPr>
          <w:p w14:paraId="0180BEBB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439" w:type="dxa"/>
            <w:vAlign w:val="center"/>
          </w:tcPr>
          <w:p w14:paraId="728B0A03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选修课成绩（10分）</w:t>
            </w:r>
          </w:p>
        </w:tc>
        <w:tc>
          <w:tcPr>
            <w:tcW w:w="5103" w:type="dxa"/>
            <w:vAlign w:val="center"/>
          </w:tcPr>
          <w:p w14:paraId="765A2D7C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（每门课的成绩×学分累加/总学分）×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hint="eastAsia" w:ascii="宋体" w:hAnsi="宋体" w:cs="仿宋"/>
                <w:kern w:val="0"/>
                <w:sz w:val="24"/>
              </w:rPr>
              <w:t>1</w:t>
            </w:r>
          </w:p>
        </w:tc>
      </w:tr>
      <w:tr w14:paraId="6C65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continue"/>
            <w:vAlign w:val="center"/>
          </w:tcPr>
          <w:p w14:paraId="6B87A12A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439" w:type="dxa"/>
            <w:vAlign w:val="center"/>
          </w:tcPr>
          <w:p w14:paraId="496FC53C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轮转手册（8分）</w:t>
            </w:r>
          </w:p>
        </w:tc>
        <w:tc>
          <w:tcPr>
            <w:tcW w:w="5103" w:type="dxa"/>
            <w:vAlign w:val="center"/>
          </w:tcPr>
          <w:p w14:paraId="6B00AE90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记录完整真实记8分，缺一项扣1分。</w:t>
            </w:r>
          </w:p>
        </w:tc>
      </w:tr>
      <w:tr w14:paraId="5AC4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continue"/>
            <w:vAlign w:val="center"/>
          </w:tcPr>
          <w:p w14:paraId="46E15453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439" w:type="dxa"/>
            <w:vAlign w:val="center"/>
          </w:tcPr>
          <w:p w14:paraId="0B52369F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出勤情况（2分）</w:t>
            </w:r>
          </w:p>
        </w:tc>
        <w:tc>
          <w:tcPr>
            <w:tcW w:w="5103" w:type="dxa"/>
            <w:vAlign w:val="center"/>
          </w:tcPr>
          <w:p w14:paraId="7E8284E9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全勤按2分记，无故缺勤1次扣0.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分。</w:t>
            </w:r>
          </w:p>
          <w:p w14:paraId="5F42D7B1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扣完为止。</w:t>
            </w:r>
          </w:p>
        </w:tc>
      </w:tr>
      <w:tr w14:paraId="1DEE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42" w:type="dxa"/>
            <w:vAlign w:val="center"/>
          </w:tcPr>
          <w:p w14:paraId="3071815C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学术成果</w:t>
            </w:r>
          </w:p>
          <w:p w14:paraId="7D068580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（20分）</w:t>
            </w:r>
          </w:p>
        </w:tc>
        <w:tc>
          <w:tcPr>
            <w:tcW w:w="7542" w:type="dxa"/>
            <w:gridSpan w:val="2"/>
            <w:vAlign w:val="center"/>
          </w:tcPr>
          <w:p w14:paraId="41B00205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总分</w:t>
            </w:r>
            <w:r>
              <w:rPr>
                <w:rFonts w:hint="eastAsia" w:ascii="宋体" w:hAnsi="宋体" w:cs="仿宋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sz w:val="24"/>
              </w:rPr>
              <w:t>0.</w:t>
            </w:r>
            <w:r>
              <w:rPr>
                <w:rFonts w:hint="eastAsia" w:ascii="宋体" w:hAnsi="宋体" w:cs="仿宋"/>
                <w:sz w:val="24"/>
              </w:rPr>
              <w:t>2，详见学术成果评分细则。</w:t>
            </w:r>
          </w:p>
        </w:tc>
      </w:tr>
      <w:tr w14:paraId="4D64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42" w:type="dxa"/>
            <w:vAlign w:val="center"/>
          </w:tcPr>
          <w:p w14:paraId="0843ED4D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操行评定</w:t>
            </w:r>
          </w:p>
          <w:p w14:paraId="40DCD7E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（10分）</w:t>
            </w:r>
          </w:p>
        </w:tc>
        <w:tc>
          <w:tcPr>
            <w:tcW w:w="7542" w:type="dxa"/>
            <w:gridSpan w:val="2"/>
            <w:vAlign w:val="center"/>
          </w:tcPr>
          <w:p w14:paraId="6FD582CD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总分</w:t>
            </w:r>
            <w:r>
              <w:rPr>
                <w:rFonts w:hint="eastAsia" w:ascii="宋体" w:hAnsi="宋体" w:cs="仿宋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hint="eastAsia" w:ascii="宋体" w:hAnsi="宋体" w:cs="仿宋"/>
                <w:kern w:val="0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，详见操行评定评分细则。</w:t>
            </w:r>
          </w:p>
        </w:tc>
      </w:tr>
    </w:tbl>
    <w:p w14:paraId="0A2C9228">
      <w:pPr>
        <w:widowControl/>
        <w:spacing w:line="360" w:lineRule="auto"/>
        <w:jc w:val="left"/>
        <w:rPr>
          <w:rFonts w:ascii="宋体" w:hAnsi="宋体" w:cs="仿宋"/>
          <w:b/>
          <w:sz w:val="24"/>
        </w:rPr>
      </w:pPr>
    </w:p>
    <w:p w14:paraId="7E38F405">
      <w:pPr>
        <w:widowControl/>
        <w:spacing w:line="360" w:lineRule="auto"/>
        <w:jc w:val="lef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 xml:space="preserve">第八条 </w:t>
      </w:r>
      <w:r>
        <w:rPr>
          <w:rFonts w:ascii="宋体" w:hAnsi="宋体" w:cs="仿宋"/>
          <w:b/>
          <w:sz w:val="24"/>
        </w:rPr>
        <w:t xml:space="preserve"> </w:t>
      </w:r>
      <w:r>
        <w:rPr>
          <w:rFonts w:hint="eastAsia" w:ascii="宋体" w:hAnsi="宋体" w:cs="仿宋"/>
          <w:b/>
          <w:sz w:val="24"/>
        </w:rPr>
        <w:t>学术成果得分</w:t>
      </w:r>
    </w:p>
    <w:tbl>
      <w:tblPr>
        <w:tblStyle w:val="6"/>
        <w:tblW w:w="880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85"/>
        <w:gridCol w:w="3294"/>
        <w:gridCol w:w="2821"/>
      </w:tblGrid>
      <w:tr w14:paraId="2CFE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42EDDE30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加分项目</w:t>
            </w:r>
          </w:p>
        </w:tc>
        <w:tc>
          <w:tcPr>
            <w:tcW w:w="1985" w:type="dxa"/>
          </w:tcPr>
          <w:p w14:paraId="1070E3A9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加分条件</w:t>
            </w:r>
          </w:p>
        </w:tc>
        <w:tc>
          <w:tcPr>
            <w:tcW w:w="3294" w:type="dxa"/>
          </w:tcPr>
          <w:p w14:paraId="41279212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分值</w:t>
            </w:r>
          </w:p>
        </w:tc>
        <w:tc>
          <w:tcPr>
            <w:tcW w:w="2821" w:type="dxa"/>
          </w:tcPr>
          <w:p w14:paraId="3CFA0C59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备注</w:t>
            </w:r>
          </w:p>
        </w:tc>
      </w:tr>
      <w:tr w14:paraId="24DB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50723E0E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</w:tcPr>
          <w:p w14:paraId="16476743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3294" w:type="dxa"/>
          </w:tcPr>
          <w:p w14:paraId="6A9EED03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2821" w:type="dxa"/>
          </w:tcPr>
          <w:p w14:paraId="580C9A2D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</w:tr>
      <w:tr w14:paraId="0AEE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vAlign w:val="center"/>
          </w:tcPr>
          <w:p w14:paraId="3FB71A96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发表论文</w:t>
            </w:r>
          </w:p>
        </w:tc>
        <w:tc>
          <w:tcPr>
            <w:tcW w:w="1985" w:type="dxa"/>
          </w:tcPr>
          <w:p w14:paraId="0B1891A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</w:rPr>
              <w:t>SCI、EI、ISTP、SSCI收录</w:t>
            </w:r>
          </w:p>
        </w:tc>
        <w:tc>
          <w:tcPr>
            <w:tcW w:w="3294" w:type="dxa"/>
          </w:tcPr>
          <w:p w14:paraId="73EB17CD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第1作者50分；第2作者20分，第3作者10分，第4作者以后均为5分</w:t>
            </w:r>
          </w:p>
        </w:tc>
        <w:tc>
          <w:tcPr>
            <w:tcW w:w="2821" w:type="dxa"/>
            <w:vAlign w:val="center"/>
          </w:tcPr>
          <w:p w14:paraId="1F1C377C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以权威检索机构的检索材料和原件为准（</w:t>
            </w:r>
            <w:r>
              <w:rPr>
                <w:rFonts w:hint="eastAsia" w:ascii="宋体" w:hAnsi="宋体" w:cs="仿宋"/>
                <w:kern w:val="0"/>
                <w:szCs w:val="21"/>
              </w:rPr>
              <w:t>导师为通讯作者）</w:t>
            </w:r>
          </w:p>
        </w:tc>
      </w:tr>
      <w:tr w14:paraId="63DC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vAlign w:val="center"/>
          </w:tcPr>
          <w:p w14:paraId="495F6EAD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</w:tcPr>
          <w:p w14:paraId="67A6A2BB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核心期刊论文</w:t>
            </w:r>
          </w:p>
        </w:tc>
        <w:tc>
          <w:tcPr>
            <w:tcW w:w="3294" w:type="dxa"/>
          </w:tcPr>
          <w:p w14:paraId="2591F234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第1作者10分，其它2分。</w:t>
            </w:r>
          </w:p>
        </w:tc>
        <w:tc>
          <w:tcPr>
            <w:tcW w:w="2821" w:type="dxa"/>
            <w:vAlign w:val="center"/>
          </w:tcPr>
          <w:p w14:paraId="4E0328EE">
            <w:pPr>
              <w:snapToGrid w:val="0"/>
              <w:rPr>
                <w:rFonts w:ascii="宋体" w:hAnsi="宋体" w:cs="仿宋"/>
                <w:szCs w:val="21"/>
              </w:rPr>
            </w:pPr>
          </w:p>
        </w:tc>
      </w:tr>
      <w:tr w14:paraId="06C8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08" w:type="dxa"/>
            <w:vMerge w:val="continue"/>
            <w:vAlign w:val="center"/>
          </w:tcPr>
          <w:p w14:paraId="27EAF034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</w:tcPr>
          <w:p w14:paraId="722002C8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国内一般刊物</w:t>
            </w:r>
            <w:r>
              <w:rPr>
                <w:rFonts w:hint="eastAsia" w:ascii="宋体" w:hAnsi="宋体" w:cs="仿宋"/>
                <w:szCs w:val="21"/>
              </w:rPr>
              <w:t>论文</w:t>
            </w:r>
          </w:p>
        </w:tc>
        <w:tc>
          <w:tcPr>
            <w:tcW w:w="3294" w:type="dxa"/>
          </w:tcPr>
          <w:p w14:paraId="0AC65E2D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第1作者5分，其它1分。</w:t>
            </w:r>
          </w:p>
        </w:tc>
        <w:tc>
          <w:tcPr>
            <w:tcW w:w="2821" w:type="dxa"/>
            <w:vAlign w:val="center"/>
          </w:tcPr>
          <w:p w14:paraId="2DE7C828">
            <w:pPr>
              <w:snapToGrid w:val="0"/>
              <w:rPr>
                <w:rFonts w:ascii="宋体" w:hAnsi="宋体" w:cs="仿宋"/>
                <w:szCs w:val="21"/>
              </w:rPr>
            </w:pPr>
          </w:p>
        </w:tc>
      </w:tr>
      <w:tr w14:paraId="1069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4DC0B279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科研课题</w:t>
            </w:r>
          </w:p>
        </w:tc>
        <w:tc>
          <w:tcPr>
            <w:tcW w:w="1985" w:type="dxa"/>
          </w:tcPr>
          <w:p w14:paraId="2B7B6348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校级以上</w:t>
            </w:r>
          </w:p>
        </w:tc>
        <w:tc>
          <w:tcPr>
            <w:tcW w:w="3294" w:type="dxa"/>
          </w:tcPr>
          <w:p w14:paraId="301D766E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第1名30分，</w:t>
            </w:r>
            <w:r>
              <w:rPr>
                <w:rFonts w:hint="eastAsia" w:ascii="宋体" w:hAnsi="宋体" w:cs="仿宋"/>
                <w:kern w:val="0"/>
                <w:szCs w:val="21"/>
              </w:rPr>
              <w:t>第2-3参与者每项20分，第4-15名的参与者每项10分</w:t>
            </w: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2821" w:type="dxa"/>
          </w:tcPr>
          <w:p w14:paraId="3E185343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标书批准件为准</w:t>
            </w:r>
          </w:p>
        </w:tc>
      </w:tr>
      <w:tr w14:paraId="3636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vAlign w:val="center"/>
          </w:tcPr>
          <w:p w14:paraId="4DA5B72C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</w:tcPr>
          <w:p w14:paraId="2830757D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校级</w:t>
            </w:r>
          </w:p>
        </w:tc>
        <w:tc>
          <w:tcPr>
            <w:tcW w:w="3294" w:type="dxa"/>
          </w:tcPr>
          <w:p w14:paraId="402AE7E3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Cs w:val="21"/>
              </w:rPr>
              <w:t>第1名20分，</w:t>
            </w:r>
            <w:r>
              <w:rPr>
                <w:rFonts w:hint="eastAsia" w:ascii="宋体" w:hAnsi="宋体" w:cs="仿宋"/>
                <w:kern w:val="0"/>
                <w:szCs w:val="21"/>
              </w:rPr>
              <w:t>第2-3参与者每项10分，第4-10的参与者每项5分</w:t>
            </w:r>
          </w:p>
        </w:tc>
        <w:tc>
          <w:tcPr>
            <w:tcW w:w="2821" w:type="dxa"/>
            <w:vAlign w:val="center"/>
          </w:tcPr>
          <w:p w14:paraId="3821913F">
            <w:pPr>
              <w:snapToGrid w:val="0"/>
              <w:rPr>
                <w:rFonts w:ascii="宋体" w:hAnsi="宋体" w:cs="仿宋"/>
                <w:szCs w:val="21"/>
              </w:rPr>
            </w:pPr>
          </w:p>
        </w:tc>
      </w:tr>
      <w:tr w14:paraId="0472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vAlign w:val="center"/>
          </w:tcPr>
          <w:p w14:paraId="6F1C180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科研成果</w:t>
            </w:r>
          </w:p>
        </w:tc>
        <w:tc>
          <w:tcPr>
            <w:tcW w:w="1985" w:type="dxa"/>
          </w:tcPr>
          <w:p w14:paraId="157C0283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校级以上</w:t>
            </w:r>
          </w:p>
        </w:tc>
        <w:tc>
          <w:tcPr>
            <w:tcW w:w="3294" w:type="dxa"/>
          </w:tcPr>
          <w:p w14:paraId="7DF39E63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一等奖前三名分别100、90、80分；以后名次70分</w:t>
            </w:r>
          </w:p>
          <w:p w14:paraId="290B1490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二等奖前三名分别80、70、60分；以后名次50分</w:t>
            </w:r>
          </w:p>
          <w:p w14:paraId="5FFE4607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三等奖前三名分别60、50、40分；以后名次30分</w:t>
            </w:r>
          </w:p>
        </w:tc>
        <w:tc>
          <w:tcPr>
            <w:tcW w:w="2821" w:type="dxa"/>
            <w:vAlign w:val="center"/>
          </w:tcPr>
          <w:p w14:paraId="1C96A13B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以获奖证书为准</w:t>
            </w:r>
          </w:p>
        </w:tc>
      </w:tr>
      <w:tr w14:paraId="0821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vAlign w:val="center"/>
          </w:tcPr>
          <w:p w14:paraId="53D82803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</w:tcPr>
          <w:p w14:paraId="30840B60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校级</w:t>
            </w:r>
          </w:p>
        </w:tc>
        <w:tc>
          <w:tcPr>
            <w:tcW w:w="3294" w:type="dxa"/>
          </w:tcPr>
          <w:p w14:paraId="4C3E6F4C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一等奖前3名分别得分为60、50、40分；以后名次30分</w:t>
            </w:r>
          </w:p>
          <w:p w14:paraId="25886C10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二等奖前3名分别得分为50、40、30分；以后名次为20分</w:t>
            </w:r>
          </w:p>
          <w:p w14:paraId="2CE3FFDC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三等奖前3名分别得分为40、30、20分；</w:t>
            </w:r>
          </w:p>
          <w:p w14:paraId="4D51001E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以后名次10分。</w:t>
            </w:r>
          </w:p>
        </w:tc>
        <w:tc>
          <w:tcPr>
            <w:tcW w:w="2821" w:type="dxa"/>
            <w:vAlign w:val="center"/>
          </w:tcPr>
          <w:p w14:paraId="1317EF2C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</w:p>
        </w:tc>
      </w:tr>
      <w:tr w14:paraId="77E4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6F91D6BB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专利</w:t>
            </w:r>
          </w:p>
        </w:tc>
        <w:tc>
          <w:tcPr>
            <w:tcW w:w="1985" w:type="dxa"/>
          </w:tcPr>
          <w:p w14:paraId="1BAB5FC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与</w:t>
            </w:r>
            <w:r>
              <w:rPr>
                <w:rFonts w:hint="eastAsia" w:ascii="宋体" w:hAnsi="宋体" w:cs="仿宋"/>
                <w:kern w:val="0"/>
                <w:szCs w:val="21"/>
              </w:rPr>
              <w:t>专业有关的</w:t>
            </w:r>
            <w:r>
              <w:rPr>
                <w:rFonts w:hint="eastAsia" w:ascii="宋体" w:hAnsi="宋体" w:cs="仿宋"/>
                <w:szCs w:val="21"/>
              </w:rPr>
              <w:t>发明</w:t>
            </w:r>
            <w:r>
              <w:rPr>
                <w:rFonts w:hint="eastAsia" w:ascii="宋体" w:hAnsi="宋体" w:cs="仿宋"/>
                <w:kern w:val="0"/>
                <w:szCs w:val="21"/>
              </w:rPr>
              <w:t>并有批准号</w:t>
            </w:r>
          </w:p>
        </w:tc>
        <w:tc>
          <w:tcPr>
            <w:tcW w:w="3294" w:type="dxa"/>
          </w:tcPr>
          <w:p w14:paraId="5E6F49BD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第一、第二发明者分别为40分、30分；以后名次4分。</w:t>
            </w:r>
          </w:p>
        </w:tc>
        <w:tc>
          <w:tcPr>
            <w:tcW w:w="2821" w:type="dxa"/>
            <w:vAlign w:val="center"/>
          </w:tcPr>
          <w:p w14:paraId="0F6E9B29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外观设计和修改类专利不计入内，限2项</w:t>
            </w:r>
          </w:p>
        </w:tc>
      </w:tr>
      <w:tr w14:paraId="7D93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A76E83A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学术报告</w:t>
            </w:r>
          </w:p>
        </w:tc>
        <w:tc>
          <w:tcPr>
            <w:tcW w:w="1985" w:type="dxa"/>
          </w:tcPr>
          <w:p w14:paraId="3305E5E6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受邀</w:t>
            </w:r>
          </w:p>
        </w:tc>
        <w:tc>
          <w:tcPr>
            <w:tcW w:w="3294" w:type="dxa"/>
          </w:tcPr>
          <w:p w14:paraId="5313F941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国外10分/次，国内5分/次。</w:t>
            </w:r>
          </w:p>
        </w:tc>
        <w:tc>
          <w:tcPr>
            <w:tcW w:w="2821" w:type="dxa"/>
            <w:vAlign w:val="center"/>
          </w:tcPr>
          <w:p w14:paraId="6ABD7E1B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由民政部备案的学术团体出具的正式邀请函为准</w:t>
            </w:r>
          </w:p>
        </w:tc>
      </w:tr>
      <w:tr w14:paraId="77B0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8" w:type="dxa"/>
            <w:vAlign w:val="center"/>
          </w:tcPr>
          <w:p w14:paraId="34A53247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助教项目</w:t>
            </w:r>
          </w:p>
        </w:tc>
        <w:tc>
          <w:tcPr>
            <w:tcW w:w="1985" w:type="dxa"/>
          </w:tcPr>
          <w:p w14:paraId="1E46E105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教研室助教带教</w:t>
            </w:r>
          </w:p>
        </w:tc>
        <w:tc>
          <w:tcPr>
            <w:tcW w:w="3294" w:type="dxa"/>
          </w:tcPr>
          <w:p w14:paraId="3C8428FE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每4学时加1分</w:t>
            </w:r>
          </w:p>
        </w:tc>
        <w:tc>
          <w:tcPr>
            <w:tcW w:w="2821" w:type="dxa"/>
            <w:vAlign w:val="center"/>
          </w:tcPr>
          <w:p w14:paraId="1EC77CBA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5分封顶，由教研室统一出具证明</w:t>
            </w:r>
          </w:p>
        </w:tc>
      </w:tr>
    </w:tbl>
    <w:p w14:paraId="157114FC">
      <w:pPr>
        <w:snapToGrid w:val="0"/>
        <w:ind w:left="720" w:hanging="720" w:hangingChars="3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注：1.成果统计时间以本学年</w:t>
      </w:r>
      <w:r>
        <w:rPr>
          <w:rFonts w:ascii="宋体" w:hAnsi="宋体" w:cs="仿宋"/>
          <w:sz w:val="24"/>
        </w:rPr>
        <w:t>为准，从</w:t>
      </w:r>
      <w:r>
        <w:rPr>
          <w:rFonts w:hint="eastAsia" w:ascii="宋体" w:hAnsi="宋体" w:cs="仿宋"/>
          <w:sz w:val="24"/>
        </w:rPr>
        <w:t>上一年的</w:t>
      </w:r>
      <w:r>
        <w:rPr>
          <w:rFonts w:ascii="宋体" w:hAnsi="宋体" w:cs="仿宋"/>
          <w:sz w:val="24"/>
        </w:rPr>
        <w:t>8</w:t>
      </w:r>
      <w:r>
        <w:rPr>
          <w:rFonts w:hint="eastAsia" w:ascii="宋体" w:hAnsi="宋体" w:cs="仿宋"/>
          <w:sz w:val="24"/>
        </w:rPr>
        <w:t>月1日</w:t>
      </w:r>
      <w:r>
        <w:rPr>
          <w:rFonts w:ascii="宋体" w:hAnsi="宋体" w:cs="仿宋"/>
          <w:sz w:val="24"/>
        </w:rPr>
        <w:t>到</w:t>
      </w:r>
      <w:r>
        <w:rPr>
          <w:rFonts w:hint="eastAsia" w:ascii="宋体" w:hAnsi="宋体" w:cs="仿宋"/>
          <w:sz w:val="24"/>
        </w:rPr>
        <w:t>今年的7月31日，必须提供成果原件及复印件。</w:t>
      </w:r>
    </w:p>
    <w:p w14:paraId="69F6116A">
      <w:pPr>
        <w:snapToGrid w:val="0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2.所有成果的单位必须为北京中医药大学并且与本专业相关。</w:t>
      </w:r>
    </w:p>
    <w:p w14:paraId="3817B3FD">
      <w:pPr>
        <w:snapToGrid w:val="0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3.以上成果统计得分最高分为100分。</w:t>
      </w:r>
    </w:p>
    <w:p w14:paraId="5F767AFD">
      <w:pPr>
        <w:snapToGrid w:val="0"/>
        <w:rPr>
          <w:rFonts w:ascii="宋体" w:hAnsi="宋体" w:cs="宋体"/>
          <w:b/>
          <w:kern w:val="0"/>
          <w:sz w:val="24"/>
        </w:rPr>
      </w:pPr>
    </w:p>
    <w:p w14:paraId="0063DE96">
      <w:pPr>
        <w:widowControl/>
        <w:spacing w:line="360" w:lineRule="auto"/>
        <w:ind w:firstLine="120" w:firstLineChars="50"/>
        <w:jc w:val="left"/>
        <w:rPr>
          <w:rFonts w:ascii="宋体" w:hAnsi="宋体" w:cs="宋体"/>
          <w:kern w:val="0"/>
          <w:sz w:val="24"/>
        </w:rPr>
      </w:pPr>
    </w:p>
    <w:p w14:paraId="3A065EFE">
      <w:pPr>
        <w:widowControl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国际与港澳台工作部</w:t>
      </w:r>
    </w:p>
    <w:p w14:paraId="0B7FE3B5">
      <w:pPr>
        <w:widowControl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研究生院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DD0EE0"/>
    <w:multiLevelType w:val="multilevel"/>
    <w:tmpl w:val="6DDD0EE0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EE50CA"/>
    <w:rsid w:val="000301A2"/>
    <w:rsid w:val="0004638F"/>
    <w:rsid w:val="0006164C"/>
    <w:rsid w:val="000618CF"/>
    <w:rsid w:val="00073DAB"/>
    <w:rsid w:val="00086690"/>
    <w:rsid w:val="000B08C3"/>
    <w:rsid w:val="000E4108"/>
    <w:rsid w:val="00111E6C"/>
    <w:rsid w:val="00173962"/>
    <w:rsid w:val="00193D7E"/>
    <w:rsid w:val="0020479E"/>
    <w:rsid w:val="0022649C"/>
    <w:rsid w:val="00232177"/>
    <w:rsid w:val="00281AEC"/>
    <w:rsid w:val="002A0315"/>
    <w:rsid w:val="002D2774"/>
    <w:rsid w:val="002E0744"/>
    <w:rsid w:val="002F2847"/>
    <w:rsid w:val="00352453"/>
    <w:rsid w:val="00376983"/>
    <w:rsid w:val="003A1AD4"/>
    <w:rsid w:val="00407222"/>
    <w:rsid w:val="00424DAF"/>
    <w:rsid w:val="00445F53"/>
    <w:rsid w:val="004811CD"/>
    <w:rsid w:val="00482428"/>
    <w:rsid w:val="004D0D93"/>
    <w:rsid w:val="00500A02"/>
    <w:rsid w:val="005265CA"/>
    <w:rsid w:val="00527A6A"/>
    <w:rsid w:val="005574CE"/>
    <w:rsid w:val="00587E64"/>
    <w:rsid w:val="005B1541"/>
    <w:rsid w:val="005D4423"/>
    <w:rsid w:val="005E3EC7"/>
    <w:rsid w:val="005F63F6"/>
    <w:rsid w:val="006115C2"/>
    <w:rsid w:val="00612468"/>
    <w:rsid w:val="00613C11"/>
    <w:rsid w:val="00695C8C"/>
    <w:rsid w:val="00696B74"/>
    <w:rsid w:val="006B25C7"/>
    <w:rsid w:val="0073151D"/>
    <w:rsid w:val="00767466"/>
    <w:rsid w:val="00774961"/>
    <w:rsid w:val="007F5326"/>
    <w:rsid w:val="008070EA"/>
    <w:rsid w:val="008722A7"/>
    <w:rsid w:val="00895CE3"/>
    <w:rsid w:val="008A3217"/>
    <w:rsid w:val="008D26FD"/>
    <w:rsid w:val="00902541"/>
    <w:rsid w:val="0094105B"/>
    <w:rsid w:val="00941DBB"/>
    <w:rsid w:val="0094764B"/>
    <w:rsid w:val="00972A54"/>
    <w:rsid w:val="00973628"/>
    <w:rsid w:val="009B3EE1"/>
    <w:rsid w:val="00A04D08"/>
    <w:rsid w:val="00A05F88"/>
    <w:rsid w:val="00A66EA5"/>
    <w:rsid w:val="00AC0019"/>
    <w:rsid w:val="00AC0FA5"/>
    <w:rsid w:val="00AC21AF"/>
    <w:rsid w:val="00B40EAB"/>
    <w:rsid w:val="00B50E67"/>
    <w:rsid w:val="00B53F79"/>
    <w:rsid w:val="00B91412"/>
    <w:rsid w:val="00B922DC"/>
    <w:rsid w:val="00BE796D"/>
    <w:rsid w:val="00BF63D2"/>
    <w:rsid w:val="00C12ED7"/>
    <w:rsid w:val="00C13B27"/>
    <w:rsid w:val="00C30D23"/>
    <w:rsid w:val="00C52AAB"/>
    <w:rsid w:val="00C54FA8"/>
    <w:rsid w:val="00C9383E"/>
    <w:rsid w:val="00CB75A0"/>
    <w:rsid w:val="00CE5252"/>
    <w:rsid w:val="00CE73DC"/>
    <w:rsid w:val="00D02669"/>
    <w:rsid w:val="00D24722"/>
    <w:rsid w:val="00D26745"/>
    <w:rsid w:val="00D4178B"/>
    <w:rsid w:val="00D65165"/>
    <w:rsid w:val="00D66370"/>
    <w:rsid w:val="00DB4E01"/>
    <w:rsid w:val="00DC4CBD"/>
    <w:rsid w:val="00DD070D"/>
    <w:rsid w:val="00E552CB"/>
    <w:rsid w:val="00E57ED8"/>
    <w:rsid w:val="00EC4292"/>
    <w:rsid w:val="00EE50CA"/>
    <w:rsid w:val="00F74007"/>
    <w:rsid w:val="00F828A2"/>
    <w:rsid w:val="00FB49F8"/>
    <w:rsid w:val="00FD183C"/>
    <w:rsid w:val="00FF7976"/>
    <w:rsid w:val="08AD6B7C"/>
    <w:rsid w:val="0F48231A"/>
    <w:rsid w:val="1D33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批注文字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1936</Words>
  <Characters>2064</Characters>
  <Lines>16</Lines>
  <Paragraphs>4</Paragraphs>
  <TotalTime>223</TotalTime>
  <ScaleCrop>false</ScaleCrop>
  <LinksUpToDate>false</LinksUpToDate>
  <CharactersWithSpaces>2105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2018-10-15T02:09:00Z</dcterms:created>
  <dc:creator>AutoBVT</dc:creator>
  <cp:lastModifiedBy>莫捷</cp:lastModifiedBy>
  <dcterms:modified xsi:type="dcterms:W3CDTF">2024-11-07T08:48:39Z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9063CE1AA87B4F2297D07D25DE741FBC_12</vt:lpwstr>
  </property>
</Properties>
</file>